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15.0" w:type="dxa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A0"/>
      </w:tblPr>
      <w:tblGrid>
        <w:gridCol w:w="2121"/>
        <w:gridCol w:w="1407"/>
        <w:gridCol w:w="4500"/>
        <w:gridCol w:w="1548"/>
        <w:tblGridChange w:id="0">
          <w:tblGrid>
            <w:gridCol w:w="2121"/>
            <w:gridCol w:w="1407"/>
            <w:gridCol w:w="4500"/>
            <w:gridCol w:w="15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August 3,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20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Stiell et al. The Canadian C-spine rule vs the NEXUS low-risk criteria in patients with trauma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NEJM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2003.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August 10,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Dehqanzada et al. Complete US of trauma in screening blunt abdominal trauma patients is equivalent to CT scanning while reducing radiation exposure and cost.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Acute Care Surgery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2015.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August 17,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 Lorenzo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Myderrizi, Mema. The hematoma block an effective alternative for fracture reduction in distal radius fractures.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Med Arh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2011.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August 24,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Watsky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Roberts et al. Effects of TXA on death, vascular occlusive events and blood transfusion in trauma patients with significant hemorrhage (CRASH-2): a randomized, placebo-controlled trial.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Lancet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2008.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August 31,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Dutton RP, Mackenzie CF, Scalea TM. Hypotensive resuscitation during active hemorrhage: impact on in-hospital mortality.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J Trauma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2002 Jun;52(6):1141-6.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September 7,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Brower et al. Ventilation with lower tidal volumes as compared with traditional tidal volumes for acute lung injury and acute respiratory distress syndrome. The ARDS Network.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NEJM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2000; 342(18): 1301 – 1308.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September 14,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Hoberman et al. Treatment of acute otitis media in children under 2 years of age.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NEJM.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2011; 364: 105 – 115.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Azubuike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September 21,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Marik, Varon and Fromm. The management of acute severe asthma.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J Emerg Med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2003; 23(3): 257 – 268.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September 28,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Boswell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Klein et al. Prospective multicenter evaluation of the pulmonary embolism rule-out criteria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 J Thrombosis and Hemostasis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2008; 6: 772 – 780.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October 5,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Than et al. 2-Hour accelerated diagnostic protocol to assess patients with chest pain symptoms using contemporary troponins as the only biomarker. The ADAPT Trial.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Journal American College of Cardio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2012; 59 (23): 2091 – 2098.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October 12,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Burkholder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Harris et al. Correlates of Delayed Recognition and Treatment of Acute Type A Aortic Dissection:  The International Registry of Acute Aortic Dissection (IRAD) Circulation. 2011; 124(18):1911.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October 19,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Nielsen et al. Reducing Computed Tomography Scans for Appendicitis by Introduction of a Standardized and Validated Ultrasonography Report Template J Ped Surg. 2015; 50 (1):144.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October 26,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Farrow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Salminen et al. Antibiotic Therapy vs Appendectomy for Treatment of Uncomplicated Acute Appendicitis: The APPAC Randomized Trial  JAMA. 2015; 313(23):2340.  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Dalley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November 2,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Garrett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Hebert et al. A multicenter, randomized, Controlled clinical trial of transfusion requirements in critical care: TRICC trial. NEJM 1999; 340: 409-417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November 9,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Warren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Jalili et al. Effect of door-to-antibiotic time on mortality of patients with sepsis in emergency department: A prospective cohort study.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Acta Medica Iranica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2013; 51(7): 454 – 460.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November 16,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Cecilia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ind w:left="0" w:firstLine="0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Burton et al. Does end-tidal carbon dioxide monitoring detect respiratory events prior to current sedation monitoring practices? </w:t>
            </w:r>
            <w:r w:rsidDel="00000000" w:rsidR="00000000" w:rsidRPr="00000000">
              <w:rPr>
                <w:i w:val="1"/>
                <w:rtl w:val="0"/>
              </w:rPr>
              <w:t xml:space="preserve">Acad Emerg Med</w:t>
            </w:r>
            <w:r w:rsidDel="00000000" w:rsidR="00000000" w:rsidRPr="00000000">
              <w:rPr>
                <w:rtl w:val="0"/>
              </w:rPr>
              <w:t xml:space="preserve"> 2006; 13(5): 500 – 504.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November 23,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Thanksgiving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November 30,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Dicenso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Oliveira et al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Cunningham et al. Odansetron compared with doxylamine and pyridoxine for treatment of nausea in pregnancy: A randomized controlled trial. 2015.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Obs &amp; Gyn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2015; 125(2): 490.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Azubuike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December 7,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Fitch RW, Kuhn JE. Intraarticular lidocaine versus intravenous procedural sedation with narcotics and benzodiazepines for reduction of the dislocated shoulder: a systematic review.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Acad Emerg 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2008 Aug;15(8):703-8.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Rosselli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December 14,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Koschel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Perry et al. High risk clinical characteristics for subarachnoid haemorrhage in patients with acute headache: prospective cohort study.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BMJ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2010; 341:c5204.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December 21,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 Lorenzo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Anderson CS, Heeley E, Huang Y, et 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Rapid blood-pressure lowering in patients with acute intracerebral hemorrhage.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 Engl J Med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2013; 368(25): 2355-65.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December 28,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January 4,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Marler et al. TPA for acute ischemic stroke. The national institute of neurological disorders and stroke rt-PA stroke study group.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NEJM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1995; 333(24): 1581 – 1587.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January 11,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Brown et al. Use of IV TPA for the management of acute ischemic stroke in the emergency department. Ann Emerg Med 2015; 66:322 – 333.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January 18,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Mouncey et al. Trial of early, goal-directed resuscitation for septic shock. NEJM 2015; 372: 1301 – 1311.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January 25,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Dellinger et al. Surviving sepsis campaign: international guidelines for management of severe sepsis and septic shock: 2012.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Crit Care Med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2013; 41: 580 – 637.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February 1,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Singer et al. The third international consensus definitions for sepsis and septic shock (sepsis 3).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JAMA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2016; 315(8): 801 – 810.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February 8,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 Lorenzo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Wolf et al. Clinical policy: Critical issues in the evaluation and management of adult patients in the emergency department with asymptomatic elevated blood pressure.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Ann Emerg 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2013; 62: 59 – 68.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February 15,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Watsky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Shanafelt, TD, Boone S, Tan L, et al. Burnout and Satisfaction with work-life balance among US physicians relative to the General US Population.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Arch Intern Med.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2012; 172(18): 1377-1385.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February 22,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In Service Exam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March 1,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Baraff et al. Practice guideline for the management of infants and children 0 to 36 months of age with fever without source.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Pediatrics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1993; 92(1).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Azubuike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March 8,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Patel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Altamimi et al. Single-dose oral dexamethasone in the emergency management of children with exacerbations of mild to moderate asthma.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Ped Emerg Care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2006; 22(12): 786 – 793.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Azubuike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March 15,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Holmes et al. Validation of a prediction rule for the identification of children with intra-abdominal injuries after blunt torso trauma.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Ann Emerg Med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2009; 54(4): 528 – 533.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Azubuike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March 22,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Boswell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Hoffmann et al. Coronary CT angiography versus standard evaluation in acute chest pain.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NEJM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2012; 367: 299 – 308.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March 29,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Cruz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Kuppermann et al. Identification of children at very low risk of clinically-important brain injuries after head trauma: a prospective cohort study.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Lancet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2009; 374(9696): 1160-1170.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April 5,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Farrow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Diercks et al. Clinical policy: Critical issues in the evaluation and management of adult patients with suspected acute non-traumatic thoracic aortic dissection.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Ann Emerg 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2015; 65:32 – 42.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April 12,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Burkholder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Wells et al. Excluding pulmonary embolism at the bedside without diagnostic imaging: Management of patients with suspected pulmonary embolism presenting to the Emergency Department by using a simple clinical model and a D-Dimer.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Ann Intern 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2001; 135: 98 – 107.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April 19,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Warren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Bachur et al. The Effect of Abdominal Pain Duration On the Accuracy of Diagnostic Imaging For Pediatric Appendicitis. 2012;  Ann Emerg Med 60(5)582.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April 26,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Backer et al. Dopamine versus norepinephrine in the treatment of septic shock: A meta-analysis.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Crit Care Med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2012; 40: 725 – 730.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May 3,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Garrett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Newman and Schriger. Rethinking testing for pulmonary embolism: Less is more. Ann Emerg Med 2011; 57(6): 622 – 627.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May 10,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Cecilia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McCormack RF, Hutson A. Can computed tomography angiography of the brain replace lumbar puncture in the evaluation of acute-onset headache after a negative noncontrast cranial computed tomography scan? Acad Emerg Med. 2010; 17(4): 444-51.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May 17,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Dicenso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Touma L, Filion KB, Sterling LH, Atallah R, Windle SB, Eisenberg MJ. Stent Retrievers for the Treatment of Acute Ischemic Stroke: A Systematic Review and Meta-analysis of Randomized Clinical Trials. JAMA Neurol. 2016;73(3):275-281. doi:10.1001/jamaneurol.2015.4441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May 24,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Hacke et al. Thrombolysis with alteplase 3 to 4.5 hours after acute ischemic stroke.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NEJM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2008; 359 (13): 1317 – 1329.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Vejdani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May 31,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Koschel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Stein et al. Diagnosis and Management of isolated subsegmental pulmonary embolism: Review and assessment of the options. Thrombosis Hemostasis; 2012; 18(1): 20 -26.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June 7,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 Lorenzo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Penaloza et al. Comparison of the Unstructured clinical gestalt, the Wells score and the revised Geneva Score to estimate pretest probability for suspected pulmonary embolism.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Annals of Emerg Med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2013; 62 (2): 117 – 124.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June 14,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Klompas et al. Does This Patient Have an Acute Thoracic Aortic Dissection? JAMA. 2002; 287(17):2262.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Petersen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June 21,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Weingart SD, Levitan RM. Preoxygenation and prevention of desaturation during emergency airway management.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Ann Emerg Med.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2012; 59(3): 165-75.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June 28, 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Graduation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fill="dfd8e8"/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fill="dfd8e8"/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tcMar>
          <w:left w:w="115.0" w:type="dxa"/>
          <w:right w:w="115.0" w:type="dxa"/>
        </w:tcMar>
      </w:tcPr>
    </w:tblStylePr>
    <w:tblStylePr w:type="band2Vert"/>
    <w:tblStylePr w:type="firstCol">
      <w:pPr>
        <w:pBdr/>
        <w:contextualSpacing w:val="1"/>
      </w:pPr>
      <w:rPr>
        <w:rFonts w:ascii="Cambria" w:cs="Cambria" w:eastAsia="Cambria" w:hAnsi="Cambria"/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pBdr/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color="000000" w:space="0" w:sz="0" w:val="nil"/>
          <w:insideV w:color="8064a2" w:space="0" w:sz="8" w:val="single"/>
        </w:tcBorders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>
        <w:rFonts w:ascii="Cambria" w:cs="Cambria" w:eastAsia="Cambria" w:hAnsi="Cambria"/>
        <w:b w:val="1"/>
      </w:rPr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tcMar>
          <w:left w:w="115.0" w:type="dxa"/>
          <w:right w:w="115.0" w:type="dxa"/>
        </w:tcMar>
      </w:tcPr>
    </w:tblStylePr>
    <w:tblStylePr w:type="lastRow">
      <w:pPr>
        <w:pBdr/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8064a2" w:space="0" w:sz="6" w:val="single"/>
          <w:left w:color="8064a2" w:space="0" w:sz="8" w:val="single"/>
          <w:bottom w:color="8064a2" w:space="0" w:sz="8" w:val="single"/>
          <w:right w:color="8064a2" w:space="0" w:sz="8" w:val="single"/>
          <w:insideH w:color="000000" w:space="0" w:sz="0" w:val="nil"/>
          <w:insideV w:color="8064a2" w:space="0" w:sz="8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